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</w:p>
    <w:p>
      <w:pPr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-143" w:firstLine="300" w:firstLineChars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КУРСА ПОВЫШЕНИЯ КВАЛИФИКАЦИИ 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00" w:firstLineChars="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СОВРЕМЕННЫЕ АСПЕКТЫ ЗДОРОВОГО ОБРАЗА ЖИЗНИ ШКОЛЬНИКОВ ДЛЯ ПЕДАГОГОВ СРЕДНЕОБРАЗОВАТЕЛЬНЫХ ШКОЛ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pageBreakBefore w:val="0"/>
        <w:widowControl w:val="0"/>
        <w:shd w:val="clear" w:color="auto" w:fill="auto"/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kk-KZ"/>
        </w:rPr>
        <w:t>СОДЕРЖАНИЕ</w:t>
      </w:r>
    </w:p>
    <w:p>
      <w:pPr>
        <w:pStyle w:val="8"/>
        <w:pageBreakBefore w:val="0"/>
        <w:wordWrap/>
        <w:topLinePunct w:val="0"/>
        <w:bidi w:val="0"/>
        <w:snapToGrid/>
        <w:spacing w:line="240" w:lineRule="auto"/>
        <w:ind w:firstLine="350" w:firstLineChars="125"/>
        <w:rPr>
          <w:color w:val="auto"/>
          <w:lang w:val="kk-KZ"/>
        </w:rPr>
      </w:pPr>
    </w:p>
    <w:p>
      <w:pPr>
        <w:pStyle w:val="8"/>
        <w:pageBreakBefore w:val="0"/>
        <w:wordWrap/>
        <w:topLinePunct w:val="0"/>
        <w:bidi w:val="0"/>
        <w:snapToGrid/>
        <w:spacing w:line="240" w:lineRule="auto"/>
        <w:ind w:firstLine="350" w:firstLineChars="125"/>
        <w:jc w:val="both"/>
        <w:rPr>
          <w:b w:val="0"/>
          <w:color w:val="auto"/>
          <w:lang w:val="kk-KZ"/>
        </w:rPr>
      </w:pPr>
    </w:p>
    <w:tbl>
      <w:tblPr>
        <w:tblStyle w:val="4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-393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Общие положения......................................................................................3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Глоссарий ……………………………………………………………….. 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Тематика программы .............................................................................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Цели, задачи и ожидаемые результаты программы..............................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Структура и содержание программы.....................................................1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Организация учебного процесса</w:t>
            </w:r>
            <w:r>
              <w:rPr>
                <w:sz w:val="28"/>
                <w:szCs w:val="28"/>
                <w:lang w:val="kk-KZ"/>
              </w:rPr>
              <w:t>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Учебно-методическое обеспечение программы....................................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Оцен</w:t>
            </w:r>
            <w:r>
              <w:rPr>
                <w:sz w:val="28"/>
                <w:szCs w:val="28"/>
                <w:lang w:val="ru-RU"/>
              </w:rPr>
              <w:t>ивание</w:t>
            </w:r>
            <w:r>
              <w:rPr>
                <w:sz w:val="28"/>
                <w:szCs w:val="28"/>
                <w:lang w:val="kk-KZ"/>
              </w:rPr>
              <w:t xml:space="preserve"> результатов программы....................................................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Посткурсовая поддержка ........................................................................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0" w:firstLineChars="0"/>
              <w:textAlignment w:val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864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right="-105" w:firstLine="0" w:firstLineChars="0"/>
              <w:textAlignment w:val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Список литературы ..................................................................................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</w:tr>
    </w:tbl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  <w:tab w:val="left" w:pos="3402"/>
          <w:tab w:val="left" w:pos="4253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ageBreakBefore w:val="0"/>
        <w:tabs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Глава 1. Общие положения</w:t>
      </w:r>
    </w:p>
    <w:p>
      <w:pPr>
        <w:pageBreakBefore w:val="0"/>
        <w:tabs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kk-KZ"/>
        </w:rPr>
      </w:pP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Программа повышения квалификации "Медико-биологическое сопровождение школьников во время занятия спортом для учителей физической культуры" представляет собой актуальное образовательное направление, способствующее развитию и укреплению здоровья подрастающего поколения. Важность данной программы обусловлена необходимостью учета общегосударственных приоритетов и мировых трендов в сфере здорового образа жизни и активности, а также практического применения медико-биологических знаний в процессе обучения и воспитания детей и подростков.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С учетом государственной стратегии развития физической культуры и спорта, а также внимания, уделяемого здоровому образу жизни и поддержке молодежи, данная программа направлена на создание системы медико-биологического сопровождения учащихся во время занятий спортом. Она призвана способствовать эффективной реализации спортивных программ и проектов, улучшению физического развития школьников и повышению их спортивных достижений, а также формированию здорового образа жизни среди молодежи.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hint="default" w:ascii="Times New Roman" w:hAnsi="Times New Roman" w:cs="Times New Roman"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Связь программы с мировыми трендами проявляется во внедрении передовых медико-биологических подходов и технологий в образовательный процесс, что позволяет учителям физической культуры быть в курсе последних научных достижений и успешно адаптировать их для решения конкретных задач в процессе занятий. В свою очередь, это способствует повышению уровня профессиональной компетентности педагогов и качества образования, что соответствует требованиям современного общества и международным стандартам.</w:t>
      </w: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ab/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РК «О физической культуре и спорте» (с изменениями и дополнениями по состоянию на 27.06.2022 г.).</w:t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Об утверждении Правил подготовки, переподготовки и повышения квалификации кадров в области физической культуры и спорта, </w:t>
      </w:r>
      <w:r>
        <w:rPr>
          <w:rFonts w:ascii="Times New Roman" w:hAnsi="Times New Roman" w:cs="Times New Roman"/>
          <w:sz w:val="28"/>
          <w:szCs w:val="28"/>
          <w:lang w:val="kk-KZ"/>
        </w:rPr>
        <w:t>Приказ Министра культуры и спорта Республики Казахстан от 29 июня 2017 года № 194. Зарегистрирован в Министерстве юстиции Республики Казахстан 18 июля 2017 года № 15344.</w:t>
      </w:r>
    </w:p>
    <w:p>
      <w:pPr>
        <w:pStyle w:val="15"/>
        <w:pageBreakBefore w:val="0"/>
        <w:tabs>
          <w:tab w:val="left" w:pos="1134"/>
        </w:tabs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  РК «О физической культуре и спорте»; </w:t>
      </w:r>
      <w:r>
        <w:rPr>
          <w:rFonts w:ascii="Times New Roman" w:hAnsi="Times New Roman" w:eastAsia="Calibri" w:cs="Times New Roman"/>
          <w:i/>
          <w:sz w:val="28"/>
          <w:szCs w:val="28"/>
        </w:rPr>
        <w:t>(с изменениями и дополнениями по состоянию на 01.07.2021 г.)</w:t>
      </w:r>
      <w:r>
        <w:rPr>
          <w:rFonts w:ascii="Times New Roman" w:hAnsi="Times New Roman" w:eastAsia="Calibri" w:cs="Times New Roman"/>
          <w:sz w:val="28"/>
          <w:szCs w:val="28"/>
        </w:rPr>
        <w:t xml:space="preserve">; Закон РК «О статусе педагога» </w:t>
      </w:r>
      <w:r>
        <w:rPr>
          <w:rFonts w:ascii="Times New Roman" w:hAnsi="Times New Roman" w:eastAsia="Calibri" w:cs="Times New Roman"/>
          <w:i/>
          <w:sz w:val="28"/>
          <w:szCs w:val="28"/>
        </w:rPr>
        <w:t>(с изменениями и дополнения на 03.05.2022г.)</w:t>
      </w:r>
      <w:r>
        <w:rPr>
          <w:rFonts w:ascii="Times New Roman" w:hAnsi="Times New Roman" w:eastAsia="Calibri" w:cs="Times New Roman"/>
          <w:sz w:val="28"/>
          <w:szCs w:val="28"/>
        </w:rPr>
        <w:t xml:space="preserve">; Концепция развития физической культуры и спорта на 2020-2025 годы; Приказ Министра культуры и спорта РК от 26 февраля 2021 года № 52;  «Об утверждении методики подушевого нормативного финансирования государственного спортивного заказа». Приказ Министра культуры и спорта РК от 27 апреля 2021 года № 119;  Приказ Министра культуры и спорта РК от 27 апреля 2021 года № 112;  О развитии и популяризации массовых видов спорта и др.     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line="240" w:lineRule="auto"/>
        <w:ind w:firstLine="350" w:firstLineChars="125"/>
        <w:jc w:val="both"/>
        <w:textAlignment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общеобязательным стандартом среднего образования (начальное, основное среднее, общее среднее образование),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утвержденного приказом Министерства просвещения РК от 03 августа 2022 года № 348,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  <w:lang w:val="kk-KZ"/>
        </w:rPr>
        <w:t>МОН РК</w:t>
      </w:r>
      <w:r>
        <w:rPr>
          <w:rFonts w:ascii="Times New Roman" w:hAnsi="Times New Roman" w:cs="Times New Roman"/>
          <w:sz w:val="28"/>
          <w:szCs w:val="28"/>
        </w:rPr>
        <w:t xml:space="preserve">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(с внесенными последними изменениями и дополнениями на 12.11.2021 г.)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>
      <w:pPr>
        <w:pageBreakBefore w:val="0"/>
        <w:tabs>
          <w:tab w:val="left" w:pos="0"/>
          <w:tab w:val="left" w:pos="851"/>
        </w:tabs>
        <w:suppressAutoHyphens/>
        <w:wordWrap/>
        <w:topLinePunct w:val="0"/>
        <w:bidi w:val="0"/>
        <w:snapToGrid/>
        <w:spacing w:after="0" w:line="240" w:lineRule="auto"/>
        <w:ind w:firstLine="350" w:firstLineChars="125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курсового обучения слушателей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по учебному плану согласно приложению, к настоящей Программе. </w:t>
      </w: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 итогам </w:t>
      </w:r>
      <w:r>
        <w:rPr>
          <w:color w:val="000000"/>
          <w:sz w:val="28"/>
          <w:szCs w:val="28"/>
          <w:lang w:val="kk-KZ"/>
        </w:rPr>
        <w:t>курса</w:t>
      </w:r>
      <w:r>
        <w:rPr>
          <w:color w:val="000000"/>
          <w:sz w:val="28"/>
          <w:szCs w:val="28"/>
        </w:rPr>
        <w:t xml:space="preserve"> слушатели получат </w:t>
      </w:r>
      <w:r>
        <w:rPr>
          <w:rStyle w:val="6"/>
          <w:color w:val="000000"/>
          <w:sz w:val="28"/>
          <w:szCs w:val="28"/>
          <w:lang w:val="kk-KZ"/>
        </w:rPr>
        <w:t xml:space="preserve">Сертификат </w:t>
      </w:r>
      <w:r>
        <w:rPr>
          <w:rStyle w:val="6"/>
          <w:color w:val="000000"/>
          <w:sz w:val="28"/>
          <w:szCs w:val="28"/>
        </w:rPr>
        <w:t>о повышении квалификации</w:t>
      </w: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14"/>
        <w:pageBreakBefore w:val="0"/>
        <w:tabs>
          <w:tab w:val="left" w:pos="0"/>
          <w:tab w:val="left" w:pos="851"/>
          <w:tab w:val="left" w:pos="993"/>
        </w:tabs>
        <w:wordWrap/>
        <w:topLinePunct w:val="0"/>
        <w:bidi w:val="0"/>
        <w:snapToGrid/>
        <w:ind w:firstLine="350" w:firstLineChars="125"/>
        <w:jc w:val="both"/>
        <w:rPr>
          <w:rStyle w:val="6"/>
          <w:color w:val="000000"/>
          <w:sz w:val="28"/>
          <w:szCs w:val="28"/>
        </w:rPr>
      </w:pPr>
    </w:p>
    <w:p>
      <w:pPr>
        <w:pStyle w:val="2"/>
        <w:pageBreakBefore w:val="0"/>
        <w:kinsoku w:val="0"/>
        <w:wordWrap/>
        <w:overflowPunct w:val="0"/>
        <w:topLinePunct w:val="0"/>
        <w:bidi w:val="0"/>
        <w:snapToGrid/>
        <w:spacing w:before="0" w:line="240" w:lineRule="auto"/>
        <w:ind w:firstLine="351" w:firstLineChars="125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Глава 2. Глоссарий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Медико-биологическое сопровождение – комплекс мероприятий, направленных на оценку, поддержание и улучшение физического здоровья и психофизиологического состояния школьников во время занятия спортом с использованием медицинских, биологических и педагогических знаний.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Физическая культура – система знаний и практических действий, направленных на физическое развитие, укрепление здоровья и формирование здорового образа жизни учащихся.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Физическое развитие – процесс изменения физических качеств и способностей человека на протяжении жизни, определяющий его адаптивные возможности, здоровье и работоспособность.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Педагогический процесс – организованная деятельность учителя и ученика, направленная на достижение образовательных целей и реализацию учебных программ.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Профессиональная компетентность – совокупность знаний, умений, навыков, опыта и личностных качеств, позволяющих успешно решать профессиональные задачи и адекватно выполнять свои функции в рамках профессиональной деятельности.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Здоровый образ жизни – совокупность взаимосвязанных и сбалансированных привычек и поведенческих моделей, обеспечивающих сохранение и укрепление физического и психического здоровья, а также социальное благополучие.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Спортивная медицина – раздел медицины, изучающий влияние физической активности на организм, а также разрабатывающий методы профилактики, диагностики и лечения спортивных травм и заболеваний, связанных с занятиями физической культурой и спортом.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Физиологические особенности – индивидуальные различия в структуре и функционировании организма, определяющие его способность к адаптации к различным видам нагрузок и условиям внешней среды.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Индивидуальный подход – принцип организации образовательного процесса, предполагающий учет физических, психологических, возрастных и индивидуальных особенностей каждого ученика при выборе методов и форм занятий физической культурой и спортом.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Травматизм – статистический показатель, характеризующий количество полученных травм и повреждений в процессе занятий спортом, их причины и последствия для здоровья учащихся.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jc w:val="both"/>
        <w:outlineLvl w:val="9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Профилактика травм – система мероприятий, направленных на предупреждение возникновения травм и повреждений в процессе занятий спортом, а также на снижение их тяжести и последствий для здоровья учащихся.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eastAsia="Times New Roman" w:cs="Times New Roman"/>
          <w:b/>
          <w:lang w:val="kk-KZ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 xml:space="preserve">Глава </w:t>
      </w:r>
      <w:r>
        <w:rPr>
          <w:rFonts w:ascii="Times New Roman" w:hAnsi="Times New Roman" w:eastAsia="Times New Roman" w:cs="Times New Roman"/>
          <w:b/>
        </w:rPr>
        <w:t>3.</w:t>
      </w:r>
      <w:r>
        <w:rPr>
          <w:rFonts w:ascii="Times New Roman" w:hAnsi="Times New Roman" w:eastAsia="Times New Roman" w:cs="Times New Roman"/>
          <w:b/>
          <w:lang w:val="kk-KZ"/>
        </w:rPr>
        <w:t xml:space="preserve"> Тематика </w:t>
      </w:r>
      <w:r>
        <w:rPr>
          <w:rFonts w:ascii="Times New Roman" w:hAnsi="Times New Roman" w:cs="Times New Roman"/>
          <w:b/>
          <w:lang w:val="kk-KZ"/>
        </w:rPr>
        <w:t>Программы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cs="Times New Roman"/>
          <w:b/>
          <w:lang w:val="kk-KZ"/>
        </w:rPr>
      </w:pPr>
    </w:p>
    <w:p>
      <w:pPr>
        <w:pStyle w:val="11"/>
        <w:pageBreakBefore w:val="0"/>
        <w:numPr>
          <w:ilvl w:val="0"/>
          <w:numId w:val="1"/>
        </w:numPr>
        <w:tabs>
          <w:tab w:val="left" w:pos="630"/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rFonts w:eastAsia="Calibri"/>
          <w:sz w:val="28"/>
          <w:szCs w:val="28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Степень новизны программы определяется ее актуальностью, ориентацией на современные образовательные и научные тренды, а также уникальным подходом к обеспечению медико-биологического сопровождения учащихся во время занятий спортом. Программа разрабатывалась с учетом последних достижений в области медицины, биологии, физиологии и педагогики, что обеспечивает ее актуальность и отражает современные потребности образовательной системы.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Анализ наличия аналогов в системе образования показывает, что подобные программы предлагаются некоторыми образовательными учреждениями, однако представленная программа отличается своей комплексностью и системностью. В отличие от других курсов, данная программа учитывает все аспекты медико-биологического сопровождения, включая профилактику травм, психофизиологическую подготовку, адаптивную физическую культуру и индивидуальный подход к обучению.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Кроме того, программа разработана с учетом международных стандартов и лучших практик в области спортивной медицины и физического воспитания. Это позволяет учителям физической культуры успешно применять полученные знания и навыки в своей профессиональной деятельности и повышать качество образовательного процесса.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Таким образом, тематика программы повышения квалификации "Медико-биологическое сопровождение школьников во время занятия спортом для учителей физической культуры" характеризуется высокой степенью новизны и отсутствием полных аналогов в системе образования. Это делает программу ценным инструментом для повышения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профессиональной компетентности учителей физической культуры, а также для обеспечения качественного медико-биологического сопровождения учащихся во время занятий спортом. Программа способствует развитию инновационных подходов и методов в педагогической практике, что в свою очередь позволяет повышать эффективность спортивного образования и укреплять здоровье подрастающего поколения.</w:t>
      </w: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line="240" w:lineRule="auto"/>
        <w:ind w:firstLine="275" w:firstLineChars="125"/>
        <w:rPr>
          <w:rFonts w:ascii="Times New Roman" w:hAnsi="Times New Roman" w:cs="Times New Roman"/>
          <w:lang w:val="kk-KZ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right="21" w:firstLine="350" w:firstLineChars="125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kk-KZ"/>
        </w:rPr>
        <w:t>Глава 4. Цели, задачи и ожидаемые результаты Программы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right="21" w:firstLine="350" w:firstLineChars="125"/>
        <w:jc w:val="both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Цель программы: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повышение профессиональной компетентности учителей физической культуры в области медико-биологического сопровождения школьников во время занятий спортом, улучшение качества образовательного процесса и повышение уровня здоровья учащихся.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Задачи программы: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1.Ознакомление участников с основами медико-биологического сопровождения и современными подходами к его реализации.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2.Развитие у педагогов навыков и умений в области профилактики травм, психофизиологической подготовки и адаптивной физической культуры.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3.Формирование у участников курса компетенций в области индивидуального подхода к обучению и организации занятий физической культурой и спортом с учетом медико-биологических особенностей учащихся.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4.Обеспечение педагогов информацией о международных стандартах и лучших практиках в области спортивной медицины и физического воспитания.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Ожидаемые результаты программы: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1.Участники программы получат актуальные знания и практические навыки в области медико-биологического сопровождения школьников во время занятий спортом.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2.Повышение качества образовательного процесса и эффективности преподавания физической культуры в образовательных учреждениях.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3.Укрепление здоровья и снижение травматизма среди учащихся в процессе занятий физической культурой и спортом.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4.Развитие инновационных подходов и методов в педагогической практике, обеспечивающих успешную реализацию медико-биологического сопровождения в спортивном образовании.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Практическая значимость программы состоит в том, что она позволяет учителям физической культуры повысить свою профессиональную компетентность и качество преподавания, учитывая медико-биологические особенности учащихся и современные требования к спортивному образованию. Это способствует формированию здорового образа жизни среди подрастающего поколения, укреплению их здоровья и гармоничному развитию личности.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Влияние результатов обучения на практику работы педагогов проявляется в следующем: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1.Улучшение методического и технологического арсенала преподавателей физической культуры, что позволяет эффективно организовать образовательный процесс с учетом индивидуальных особенностей и потребностей учащихся.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2.Реализация инновационных подходов и методов обучения, обеспечивающих интеграцию медико-биологического сопровождения в систему спортивного образования.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3.Уменьшение травматизма и повышение безопасности занятий спортом благодаря освоению педагогами методов профилактики травм и адаптивной физической культуры.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4.Укрепление междисциплинарного взаимодействия между учителями физической культуры и специалистами в области медицины, психологии и биологии, что способствует комплексному и системному подходу к организации образовательного процесса.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Таким образом, программа повышения квалификации "Медико-биологическое сопровождение школьников во время занятия спортом для учителей физической культуры" оказывает значительное влияние на практическую деятельность педагогов и способствует повышению качества спортивного образования и здоровья учащихся.</w:t>
      </w: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9"/>
        <w:pageBreakBefore w:val="0"/>
        <w:numPr>
          <w:ilvl w:val="0"/>
          <w:numId w:val="0"/>
        </w:numPr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</w:p>
    <w:p>
      <w:pPr>
        <w:pStyle w:val="19"/>
        <w:pageBreakBefore w:val="0"/>
        <w:shd w:val="clear" w:color="auto" w:fill="FFFFFF"/>
        <w:tabs>
          <w:tab w:val="left" w:pos="993"/>
        </w:tabs>
        <w:wordWrap/>
        <w:topLinePunct w:val="0"/>
        <w:bidi w:val="0"/>
        <w:snapToGrid/>
        <w:spacing w:before="0" w:beforeAutospacing="0" w:after="0" w:afterAutospacing="0" w:line="240" w:lineRule="auto"/>
        <w:ind w:firstLine="350" w:firstLineChars="125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eastAsia="Times New Roman" w:cs="Times New Roman"/>
          <w:b/>
          <w:lang w:val="kk-KZ"/>
        </w:rPr>
        <w:t xml:space="preserve">Глава </w:t>
      </w:r>
      <w:r>
        <w:rPr>
          <w:rFonts w:ascii="Times New Roman" w:hAnsi="Times New Roman" w:eastAsia="Times New Roman" w:cs="Times New Roman"/>
          <w:b/>
        </w:rPr>
        <w:t>5.</w:t>
      </w:r>
      <w:r>
        <w:rPr>
          <w:rFonts w:ascii="Times New Roman" w:hAnsi="Times New Roman" w:eastAsia="Times New Roman" w:cs="Times New Roman"/>
          <w:b/>
          <w:lang w:val="kk-KZ"/>
        </w:rPr>
        <w:t xml:space="preserve"> Структура и </w:t>
      </w:r>
      <w:r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  <w:lang w:val="kk-KZ"/>
        </w:rPr>
        <w:t>Программы</w:t>
      </w:r>
    </w:p>
    <w:p>
      <w:pPr>
        <w:pStyle w:val="16"/>
        <w:keepNext w:val="0"/>
        <w:pageBreakBefore w:val="0"/>
        <w:tabs>
          <w:tab w:val="left" w:pos="851"/>
          <w:tab w:val="left" w:pos="993"/>
          <w:tab w:val="left" w:pos="1134"/>
        </w:tabs>
        <w:wordWrap/>
        <w:topLinePunct w:val="0"/>
        <w:bidi w:val="0"/>
        <w:snapToGrid/>
        <w:spacing w:before="0" w:after="0"/>
        <w:ind w:firstLine="350" w:firstLineChars="125"/>
        <w:outlineLvl w:val="9"/>
        <w:rPr>
          <w:rFonts w:ascii="Times New Roman" w:hAnsi="Times New Roman" w:cs="Times New Roman"/>
          <w:b/>
          <w:lang w:val="kk-KZ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Программа курса повышения квалификации "Современные аспекты здорового образа жизни школьников для педагогов среднеобразовательных школ" предусматривает изучение следующих тематических блоков: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numPr>
          <w:ilvl w:val="0"/>
          <w:numId w:val="2"/>
        </w:numPr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Основы здоровьесберегающего образования и здорового образа жизни.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-Значение здоровьесберегающего образования в современной системе образования.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-Принципы и методы здоровьесберегающего образования.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-Формирование компетентностей здорового образа жизни у учащихся.</w:t>
      </w:r>
    </w:p>
    <w:p>
      <w:pPr>
        <w:pStyle w:val="17"/>
        <w:pageBreakBefore w:val="0"/>
        <w:numPr>
          <w:ilvl w:val="0"/>
          <w:numId w:val="2"/>
        </w:numPr>
        <w:wordWrap/>
        <w:topLinePunct w:val="0"/>
        <w:bidi w:val="0"/>
        <w:snapToGrid/>
        <w:ind w:left="0" w:leftChars="0"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Физическая активность и ее роль в поддержании здоровья школьников.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-Влияние физической активности на развитие и здоровье детей.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-Методы и формы организации физической активности на уроках и во внеурочное время.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-Мотивация учащихся к регулярной физической активности.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3.Правильное питание и особенности организации питания в образовательных учреждениях.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-Основы сбалансированного питания для детей и подростков.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-Роль школьного питания в формировании здорового образа жизни.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-Организация питания в образовательных учреждениях: требования и рекомендации.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4.Психоэмоциональное благополучие и профилактика стресса у учащихся.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-Факторы, влияющие на психоэмоциональное благополучие школьников.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-Методы и техники профилактики стресса и поддержания психоэмоционального здоровья учащихся.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-Роль педагога в поддержке психоэмоционального благополучия учеников.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5.Профилактика вредных привычек и формирование навыков здорового образа жизни.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-Роль педагога в профилактике вредных привычек среди учащихся.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-Методы и техники формирования навыков здорового образа жизни у детей и подростков.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-Организация профилактической работы в образовательном учреждении.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6.Роль педагога в формировании здорового образа жизни учащихся.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-Взаимодействие педагога с родителями и другими специалистами в формировании здорового образа жизни учащихся.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-Создание условий для формирования здорового образа жизни в образовательной среде.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-Развитие навыков рефлексии и самооценки у педагога для эффективного формирования здорового образа жизни у учеников.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При изучении каждого из тематических блоков курса участники будут осваивать теоретические основы, а также разрабатывать и применять практические навыки, направленные на формирование здорового образа жизни у школьников. Обучение будет включать лекции, практические занятия, обсуждение кейсов и анализ ситуаций из практики, а также выполнение самостоятельных заданий и проектов. В процессе обучения педагоги научатся адаптировать полученные знания и навыки к условиям своей профессиональной деятельности и образовательного учреждения.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ageBreakBefore w:val="0"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Глава 6.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процесса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Формат учебного процесса: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Учебный процесс программы организован с использованием смешанного формата обучения, который включает в себя очные занятия (лекции, семинары, практические занятия), дистанционное обучение (вебинары, видеолекции, тестирование) и самостоятельную работу участников.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Количество часов: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Программа рассчитана на 80 академических часов, которые распределены следующим образом: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Очные занятия – 40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Дистанционное обучение – 20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Самостоятельная работа – 20 часов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 w:val="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</w:rPr>
        <w:t>Формы обучения: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Лекции – теоретическое обучение, предоставляющее базовые знания по каждому из разделов программы.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Семинары – обсуждение и анализ пройденного материала, разбор практических ситуаций и кейсов, обмен опытом между участниками.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Практические занятия – мастер-классы, демонстрация методик и техник работы, тренировка навыков и умений в области медико-биологического сопровождения.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Вебинары – дистанционное обучение с использованием видеосвязи, позволяющее пройти дополнительные темы и материалы курса, задать вопросы экспертам.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Видеолекции – записанные видеоматериалы, доступные для просмотра в любое удобное время, дополняющие очные лекции и вебинары.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</w:rPr>
        <w:t>Тестирование – проверка знаний и навыков участников по окончанию каждого раздела программы для оценки усвоения материала.</w:t>
      </w:r>
    </w:p>
    <w:p>
      <w:pPr>
        <w:pStyle w:val="15"/>
        <w:pageBreakBefore w:val="0"/>
        <w:numPr>
          <w:ilvl w:val="0"/>
          <w:numId w:val="3"/>
        </w:numPr>
        <w:wordWrap/>
        <w:topLinePunct w:val="0"/>
        <w:bidi w:val="0"/>
        <w:snapToGrid/>
        <w:spacing w:after="0" w:line="240" w:lineRule="auto"/>
        <w:ind w:left="0" w:leftChars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/>
          <w:bCs/>
          <w:sz w:val="28"/>
          <w:szCs w:val="28"/>
        </w:rPr>
        <w:t>Самостоятельная работа – изучение дополнительных материалов, выполнение заданий и проектов, направленных на закрепление полученных знаний и навыков.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Организация учебного процесса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рамках программы повышения квалификации "Медико-биологическое сопровождение школьников во время занятия спортом для учителей физической культуры" на 80 часов обучения создает условия для комплексного и эффективного изучения материала. Сочетание различных форм обучения позволяет участникам курса максимально глубоко погрузиться в тематику программы, развить необходимые компетенции и применить полученные знания и навыки на практике.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Организация учебного процесса также предполагает контроль и оценку результатов обучения, включая текущий контроль знаний (тестирование после каждого раздела) и итоговую аттестацию (защита проекта или кейса, связанного с медико-биологическим сопровождением школьников во время занятия спортом). Успешное прохождение программы позволит участникам получить сертификат о повышении квалификации, подтверждающий их компетенции в области медико-биологического сопровождения спортивной деятельности школьников.</w:t>
      </w: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>
      <w:pPr>
        <w:pStyle w:val="17"/>
        <w:pageBreakBefore w:val="0"/>
        <w:wordWrap/>
        <w:topLinePunct w:val="0"/>
        <w:bidi w:val="0"/>
        <w:snapToGrid/>
        <w:ind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7.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Программы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Теоретический материал включает в себя учебники, методические пособия, научные статьи и другие источники информации, предоставляющие базовые знания по каждому разделу программы. Эти материалы служат основой для проведения лекций, семинаров и других форм обучения.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sz w:val="28"/>
          <w:szCs w:val="28"/>
          <w:lang w:val="kk-KZ"/>
        </w:rPr>
        <w:t>Задания по усвоению учебного материала: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Задания направлены на закрепление полученных теоретических знаний и развитие практических навыков участников. Задания могут включать в себя тесты, кейсы, практические задачи, проекты и другие формы самостоятельной работы. Задания разнообразны и адаптированы под уровень сложности и специфику разделов программы.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sz w:val="28"/>
          <w:szCs w:val="28"/>
          <w:lang w:val="kk-KZ"/>
        </w:rPr>
        <w:t>Критерии самооценки: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Критерии самооценки предоставляют участникам курса возможность анализировать и оценивать свои знания, навыки и компетенции в рамках изучаемых тем. Самооценка может осуществляться с помощью рубрик, чек-листов или рефлексивных вопросов, позволяя участникам осознать свои достижения, проблемные зоны и потребности в дополнительном обучении.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Учебно-методическое обеспечение программы повышения квалификации "Медико-биологическое сопровождение школьников во время занятия спортом для учителей физической культуры" создает условия для эффективного и системного обучения. Использование дидактического подхода и комплексного учебно-методического обеспечения позволяет участникам курса успешно освоить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программу, развить необходимые компетенции и применить полученные знания и навыки на практике. Учебно-методическое обеспечение обеспечивает последовательное изучение разделов программы, а также поддерживает развитие критического мышления и самостоятельности участников в процессе обучения.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Важным аспектом учебно-методического обеспечения является поддержка и консультации со стороны преподавателей и экспертов программы. Они помогают участникам курса в освоении материала, решении возникающих вопросов и проблем, а также предоставляют обратную связь по выполненным заданиям и проектам. Кроме того, участники курса имеют возможность обмениваться опытом и обсуждать вопросы с коллегами, что способствует расширению профессионального кругозора и формированию сетевых связей.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Итак, учебно-методическое обеспечение программы повышения квалификации "Медико-биологическое сопровождение школьников во время занятия спортом для учителей физической культуры" создает благоприятные условия для качественного обучения, активного участия и успешного достижения поставленных целей и задач программы.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8.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Оценивание результатов обучения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709" w:firstLine="350" w:firstLineChars="1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Оценивание результатов обучения при объеме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часов: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-тестирование по модулям курсов</w:t>
      </w:r>
    </w:p>
    <w:p>
      <w:pPr>
        <w:pStyle w:val="15"/>
        <w:pageBreakBefore w:val="0"/>
        <w:wordWrap/>
        <w:topLinePunct w:val="0"/>
        <w:bidi w:val="0"/>
        <w:snapToGrid/>
        <w:spacing w:after="0" w:line="240" w:lineRule="auto"/>
        <w:ind w:left="0" w:firstLine="350" w:firstLineChars="1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-анкетирование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rStyle w:val="20"/>
          <w:rFonts w:eastAsiaTheme="majorEastAsia"/>
          <w:sz w:val="28"/>
          <w:szCs w:val="28"/>
        </w:rPr>
      </w:pPr>
      <w:r>
        <w:rPr>
          <w:sz w:val="28"/>
          <w:szCs w:val="28"/>
        </w:rPr>
        <w:t>Для определения уровня сформированности профессиональных компетентностей руководителей разрабатываются критерии оценки и параметры усвоения содержания программы.</w:t>
      </w:r>
      <w:r>
        <w:rPr>
          <w:rStyle w:val="20"/>
          <w:rFonts w:eastAsiaTheme="majorEastAsia"/>
          <w:sz w:val="28"/>
          <w:szCs w:val="28"/>
        </w:rPr>
        <w:t> 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b/>
          <w:sz w:val="28"/>
          <w:szCs w:val="28"/>
        </w:rPr>
      </w:pPr>
      <w:bookmarkStart w:id="0" w:name="z634"/>
      <w:bookmarkEnd w:id="0"/>
      <w:bookmarkStart w:id="1" w:name="z635"/>
      <w:bookmarkEnd w:id="1"/>
      <w:r>
        <w:rPr>
          <w:sz w:val="28"/>
          <w:szCs w:val="28"/>
        </w:rPr>
        <w:t xml:space="preserve">Для проведения самостоятельной (практической) работы выделяются следующие критерии, которые отражены в </w:t>
      </w:r>
      <w:r>
        <w:rPr>
          <w:b/>
          <w:sz w:val="28"/>
          <w:szCs w:val="28"/>
        </w:rPr>
        <w:t>Приложении 2.</w:t>
      </w:r>
    </w:p>
    <w:p>
      <w:pPr>
        <w:pStyle w:val="11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/>
        <w:ind w:firstLine="350" w:firstLineChars="125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– тестирования. Общее количество вопросов – 20. Для прохождения итогового тестирования и завершения курса по повышению квалификации необходимо набрать 60% и выше правильных ответов. Пороговый уровень – 12 баллов. За каждый правильный ответ присваивается 1 балл.</w:t>
      </w: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>
      <w:pPr>
        <w:pageBreakBefore w:val="0"/>
        <w:tabs>
          <w:tab w:val="left" w:pos="851"/>
        </w:tabs>
        <w:wordWrap/>
        <w:topLinePunct w:val="0"/>
        <w:bidi w:val="0"/>
        <w:snapToGrid/>
        <w:spacing w:after="0" w:line="240" w:lineRule="auto"/>
        <w:ind w:firstLine="350" w:firstLineChars="12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Глава 9.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Посткурсовое сопровождение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Посткурсовое сопровождение является важным компонентом программы повышения квалификации "Медико-биологическое сопровождение школьников во время занятия спортом для учителей физической культуры", поскольку обеспечивает дополнительную поддержку участникам курса после его завершения. Раздел "Посткурсовое сопровождение" описывает формат, формы и методы, используемые для обеспечения продолжительной связи и поддержки участников курса в процессе их профессиональной деятельности.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Формат: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Посткурсовое сопровождение может включать различные виды дистанционного обучения и консультаций, в том числе онлайн-семинары, вебинары, видеоконференции и другие виды взаимодействия через интернет-платформы.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Формы: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Основные формы посткурсового сопровождения могут включать следующее: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а. Индивидуальные консультации с преподавателями и экспертами по возникающим вопросам и проблемам в процессе практической работы.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б. Групповые встречи с участниками курса и экспертами для обмена опытом, обсуждения успешных практик и решения возникающих проблем.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в. Специализированные онлайн-тренинги и вебинары, направленные на углубление и расширение знаний и навыков участников курса в определенных областях.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г. Доступ к обновленным и дополнительным учебно-методическим материалам, связанным с программой повышения квалификации и актуальными темами в предметной области.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Методы: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В качестве методов посткурсового сопровождения могут использоваться: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а. Менторство и коучинг со стороны преподавателей и экспертов, направленные на поддержание мотивации и развитие профессиональных компетенций участников курса.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kk-KZ"/>
        </w:rPr>
        <w:t>б. Рефлексивные практики и анализ собственной деятельности участниками курса, направленные на самооценку</w:t>
      </w:r>
      <w:r>
        <w:rPr>
          <w:rFonts w:hint="default"/>
          <w:sz w:val="28"/>
          <w:szCs w:val="28"/>
          <w:lang w:val="ru-RU"/>
        </w:rPr>
        <w:t xml:space="preserve"> и самосовершенствование в рамках профессиональной деятельности.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в. Обратная связь от коллег и экспертов по результатам применения полученных знаний и навыков на практике, что позволяет участникам курса адаптироваться к изменяющимся условиям и улучшать свою профессиональную деятельность.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г. Сетевое взаимодействие между участниками курса, преподавателями и экспертами через специализированные платформы и социальные сети, что способствует обмену опытом, распространению успешных практик и формированию профессионального сообщества.</w:t>
      </w:r>
    </w:p>
    <w:p>
      <w:pPr>
        <w:pStyle w:val="11"/>
        <w:pageBreakBefore w:val="0"/>
        <w:tabs>
          <w:tab w:val="left" w:pos="440"/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0" w:leftChars="0" w:firstLine="350" w:firstLineChars="125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Таким образом, раздел "Посткурсовое сопровождение" описывает различные форматы, формы и методы, используемые для поддержки участников программы повышения квалификации после ее завершения. Это позволяет участникам курса успешно адаптироваться к новым вызовам и требованиям в своей профессиональной деятельности, а также поддерживать и развивать полученные компетенции на протяжении всей карьеры.</w:t>
      </w: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both"/>
        <w:rPr>
          <w:sz w:val="28"/>
          <w:szCs w:val="28"/>
        </w:rPr>
      </w:pPr>
    </w:p>
    <w:p>
      <w:pPr>
        <w:pageBreakBefore w:val="0"/>
        <w:shd w:val="clear" w:color="auto" w:fill="FFFFFF"/>
        <w:wordWrap/>
        <w:topLinePunct w:val="0"/>
        <w:bidi w:val="0"/>
        <w:snapToGrid/>
        <w:spacing w:after="0" w:line="240" w:lineRule="auto"/>
        <w:ind w:left="280" w:firstLine="350" w:firstLineChars="125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Глава 10. Список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литературы</w:t>
      </w:r>
    </w:p>
    <w:p>
      <w:pPr>
        <w:pageBreakBefore w:val="0"/>
        <w:shd w:val="clear" w:color="auto" w:fill="FFFFFF"/>
        <w:wordWrap/>
        <w:topLinePunct w:val="0"/>
        <w:bidi w:val="0"/>
        <w:snapToGrid/>
        <w:spacing w:after="0" w:line="240" w:lineRule="auto"/>
        <w:ind w:left="280" w:firstLine="350" w:firstLineChars="125"/>
        <w:jc w:val="both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 w:eastAsia="TimesNewRomanPSMT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Закон РК «О физической культуре и спорте» от 30 июля 2014 года (с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"https://online.zakon.kz/Document/?doc_id=31576153" \o "Закон Республики Казахстан от 3 июля 2014 года № 228-V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состоянию на 13.12.2019 г.);   </w:t>
      </w:r>
    </w:p>
    <w:p>
      <w:pPr>
        <w:pStyle w:val="14"/>
        <w:pageBreakBefore w:val="0"/>
        <w:widowControl/>
        <w:numPr>
          <w:ilvl w:val="0"/>
          <w:numId w:val="4"/>
        </w:numPr>
        <w:tabs>
          <w:tab w:val="left" w:pos="1134"/>
        </w:tabs>
        <w:wordWrap/>
        <w:topLinePunct w:val="0"/>
        <w:autoSpaceDE/>
        <w:autoSpaceDN/>
        <w:bidi w:val="0"/>
        <w:adjustRightInd/>
        <w:snapToGrid/>
        <w:ind w:left="0" w:firstLine="350" w:firstLineChars="125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>Закон РК «О внесении изменений и дополнений в некоторые законодательные акты Республики Казахстан по вопросам инклюзивного образования» от 26 июня 2021 года № 56-VII ЗРК  (с </w:t>
      </w:r>
      <w:r>
        <w:fldChar w:fldCharType="begin"/>
      </w:r>
      <w:r>
        <w:instrText xml:space="preserve"> HYPERLINK "https://online.zakon.kz/Document/?doc_id=31576153" \o "Закон Республики Казахстан от 3 июля 2014 года № 228-V " </w:instrText>
      </w:r>
      <w:r>
        <w:fldChar w:fldCharType="separate"/>
      </w:r>
      <w:r>
        <w:rPr>
          <w:rStyle w:val="5"/>
          <w:sz w:val="28"/>
          <w:szCs w:val="28"/>
        </w:rPr>
        <w:t>изменениями и дополнениями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 по состоянию на 26.06.2021 г.);    </w:t>
      </w:r>
    </w:p>
    <w:p>
      <w:pPr>
        <w:pStyle w:val="14"/>
        <w:pageBreakBefore w:val="0"/>
        <w:widowControl/>
        <w:numPr>
          <w:ilvl w:val="0"/>
          <w:numId w:val="4"/>
        </w:numPr>
        <w:tabs>
          <w:tab w:val="left" w:pos="1276"/>
        </w:tabs>
        <w:wordWrap/>
        <w:topLinePunct w:val="0"/>
        <w:autoSpaceDE/>
        <w:autoSpaceDN/>
        <w:bidi w:val="0"/>
        <w:adjustRightInd/>
        <w:snapToGrid/>
        <w:ind w:left="0" w:firstLine="350" w:firstLineChars="125"/>
        <w:jc w:val="both"/>
        <w:rPr>
          <w:sz w:val="28"/>
          <w:szCs w:val="28"/>
        </w:rPr>
      </w:pPr>
      <w:r>
        <w:rPr>
          <w:sz w:val="28"/>
          <w:szCs w:val="28"/>
        </w:rPr>
        <w:t>Закон РК «О социальной и медико-педагогической коррекционной поддержке детей с ограниченными возможностями» от 11 июля 2002 года N343 (с </w:t>
      </w:r>
      <w:r>
        <w:fldChar w:fldCharType="begin"/>
      </w:r>
      <w:r>
        <w:instrText xml:space="preserve"> HYPERLINK "https://online.zakon.kz/Document/?doc_id=31576153" \o "Закон Республики Казахстан от 3 июля 2014 года № 228-V " </w:instrText>
      </w:r>
      <w:r>
        <w:fldChar w:fldCharType="separate"/>
      </w:r>
      <w:r>
        <w:rPr>
          <w:rStyle w:val="5"/>
          <w:sz w:val="28"/>
          <w:szCs w:val="28"/>
        </w:rPr>
        <w:t>изменениями и дополнениями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 по состоянию на 26.06.2021 г.);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Правила организации и проведения курсов повышения квалификации педагогических кадров, а также посткурсового сопровождения деятельности педагога (приказ Министра образования и науки Республики Казахстан  от 28 января 2016 года № 95);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Приказ МОН РК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 состоянию на 18.11.2021 г.)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Поручение Главы государства К.Токаева по ускорению процесса цифровизации (заседание Высшего совета по реформам от 9 декабря 2020 года); 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технологиям»; 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Государственный общеобязательный стандарт 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начального, основного, общего среднего образования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Республики Казахстан</w:t>
      </w:r>
      <w:r>
        <w:rPr>
          <w:rFonts w:ascii="Times New Roman" w:hAnsi="Times New Roman" w:eastAsia="TimesNewRomanPSMT"/>
          <w:color w:val="auto"/>
          <w:sz w:val="28"/>
          <w:szCs w:val="28"/>
          <w:lang w:val="ru-RU"/>
        </w:rPr>
        <w:t xml:space="preserve"> от 31 октября 2018 года № 604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(с внесенными изменениями и  дополнениями № 182 от 5 мая 2020 года) (образовательная область физическая культура);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Типовых учебных планов начального, основного среднего и общего среднего образования, утвержденных приказом Министра образования и науки Республики Казахстан от 8 ноября   2012 года № 500 (с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состоянию на 4 сентября 2018 г. № 441); </w:t>
      </w:r>
    </w:p>
    <w:p>
      <w:pPr>
        <w:pStyle w:val="17"/>
        <w:pageBreakBefore w:val="0"/>
        <w:numPr>
          <w:ilvl w:val="0"/>
          <w:numId w:val="4"/>
        </w:numPr>
        <w:tabs>
          <w:tab w:val="left" w:pos="1134"/>
        </w:tabs>
        <w:wordWrap/>
        <w:topLinePunct w:val="0"/>
        <w:bidi w:val="0"/>
        <w:snapToGrid/>
        <w:ind w:left="0" w:firstLine="350" w:firstLineChars="125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Типовых учебных программ по общеобразовательным предметам начального, основного среднего и общего 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 199; с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fldChar w:fldCharType="begin"/>
      </w:r>
      <w:r>
        <w:instrText xml:space="preserve"> HYPERLINK "https://online.zakon.kz/document/?doc_id=30118752" \o "Закон Республики Казахстан от 27 июля 2007 года № 319-III 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изменениями и дополнениями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по состоянию на 3 апреля 2017 г. №545; № 352). </w:t>
      </w:r>
    </w:p>
    <w:p>
      <w:pPr>
        <w:pStyle w:val="17"/>
        <w:pageBreakBefore w:val="0"/>
        <w:widowControl w:val="0"/>
        <w:tabs>
          <w:tab w:val="left" w:pos="1134"/>
        </w:tabs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11.Иванов, А.А. Здоровый образ жизни школьников: основы формирования и развития / А.А. Иванов. - М.: Издательство «Просвещение», 2021.</w:t>
      </w:r>
    </w:p>
    <w:p>
      <w:pPr>
        <w:pStyle w:val="17"/>
        <w:pageBreakBefore w:val="0"/>
        <w:widowControl w:val="0"/>
        <w:tabs>
          <w:tab w:val="left" w:pos="1134"/>
        </w:tabs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12.Кузнецова, В.С. Здоровьесберегающие технологии в образовательном процессе / В.С. Кузнецова. - СПб.: Питер, 2020.</w:t>
      </w:r>
    </w:p>
    <w:p>
      <w:pPr>
        <w:pStyle w:val="17"/>
        <w:pageBreakBefore w:val="0"/>
        <w:widowControl w:val="0"/>
        <w:tabs>
          <w:tab w:val="left" w:pos="1134"/>
        </w:tabs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13.Смирнова, Е.О. Физическая активность и здоровье детей и подростков / Е.О. Смирнова. - М.: Издательство «Академия», 2019.</w:t>
      </w:r>
    </w:p>
    <w:p>
      <w:pPr>
        <w:pStyle w:val="17"/>
        <w:pageBreakBefore w:val="0"/>
        <w:widowControl w:val="0"/>
        <w:tabs>
          <w:tab w:val="left" w:pos="1134"/>
        </w:tabs>
        <w:wordWrap/>
        <w:topLinePunct w:val="0"/>
        <w:bidi w:val="0"/>
        <w:snapToGrid/>
        <w:ind w:firstLine="350" w:firstLineChars="125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14.Томпсон, Дж. Правильное питание школьников: наука и практика / Дж. Томпсон. - М.: Альпина Паблишер, 2021.</w:t>
      </w:r>
    </w:p>
    <w:p>
      <w:pPr>
        <w:pageBreakBefore w:val="0"/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  <w:t>Список  ДОПОЛНИТЕЛЬНОЙ литературы</w:t>
      </w:r>
    </w:p>
    <w:p>
      <w:pPr>
        <w:pageBreakBefore w:val="0"/>
        <w:shd w:val="clear" w:color="auto" w:fill="FFFFFF"/>
        <w:tabs>
          <w:tab w:val="left" w:pos="851"/>
        </w:tabs>
        <w:wordWrap/>
        <w:topLinePunct w:val="0"/>
        <w:autoSpaceDE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b/>
          <w:bCs/>
          <w:caps/>
          <w:kern w:val="1"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1.</w:t>
      </w: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Новикова, М. В. (2020). Основы профилактики травматизма у детей и подростков в спорте. Москва: Физкультура и спорт.</w:t>
      </w: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2.</w:t>
      </w: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Петров, А. А. (2019). Влияние физической активности на состояние здоровья и развитие детей и подростков. Санкт-Петербург: Балтийский научный центр.</w:t>
      </w: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3.</w:t>
      </w: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Clark, N., &amp; Nutting, M. (2021). Nutrition for Youth Athletes: A Guide to Improving Performance and Recovery. London: Human Kinetics.</w:t>
      </w: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  <w:r>
        <w:rPr>
          <w:rFonts w:hint="default" w:eastAsia="SimSun"/>
          <w:color w:val="auto"/>
          <w:sz w:val="28"/>
          <w:szCs w:val="28"/>
          <w:lang w:val="ru-RU"/>
        </w:rPr>
        <w:t>4.</w:t>
      </w:r>
      <w:r>
        <w:rPr>
          <w:rFonts w:hint="default" w:ascii="Times New Roman" w:hAnsi="Times New Roman" w:eastAsia="SimSun"/>
          <w:color w:val="auto"/>
          <w:sz w:val="28"/>
          <w:szCs w:val="28"/>
          <w:lang w:val="ru-RU"/>
        </w:rPr>
        <w:t>Tanner, S., &amp; Gore, C. J. (Eds.) (2019). Physiological Tests for Elite Athletes, 2nd Edition. Champaign, IL: Human Kinetics.</w:t>
      </w: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numPr>
          <w:ilvl w:val="0"/>
          <w:numId w:val="0"/>
        </w:numPr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firstLine="350" w:firstLineChars="125"/>
        <w:contextualSpacing/>
        <w:jc w:val="both"/>
        <w:rPr>
          <w:bCs/>
          <w:sz w:val="28"/>
          <w:szCs w:val="28"/>
        </w:rPr>
      </w:pPr>
    </w:p>
    <w:p>
      <w:pPr>
        <w:pStyle w:val="11"/>
        <w:pageBreakBefore w:val="0"/>
        <w:tabs>
          <w:tab w:val="left" w:pos="851"/>
          <w:tab w:val="left" w:pos="993"/>
          <w:tab w:val="left" w:pos="1134"/>
          <w:tab w:val="left" w:pos="4820"/>
        </w:tabs>
        <w:wordWrap/>
        <w:topLinePunct w:val="0"/>
        <w:bidi w:val="0"/>
        <w:snapToGrid/>
        <w:spacing w:before="0" w:beforeAutospacing="0" w:after="0" w:afterAutospacing="0"/>
        <w:ind w:left="709" w:firstLine="350" w:firstLineChars="125"/>
        <w:contextualSpacing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>
      <w:pPr>
        <w:pStyle w:val="11"/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35" w:firstLineChars="125"/>
        <w:jc w:val="center"/>
        <w:outlineLvl w:val="9"/>
        <w:rPr>
          <w:rFonts w:eastAsia="Calibri"/>
          <w:b/>
          <w:bCs/>
          <w:spacing w:val="-6"/>
          <w:kern w:val="32"/>
          <w:sz w:val="28"/>
          <w:szCs w:val="28"/>
        </w:rPr>
      </w:pPr>
      <w:r>
        <w:rPr>
          <w:rFonts w:eastAsia="Calibri"/>
          <w:b/>
          <w:bCs/>
          <w:spacing w:val="-6"/>
          <w:kern w:val="32"/>
          <w:sz w:val="28"/>
          <w:szCs w:val="28"/>
        </w:rPr>
        <w:t xml:space="preserve"> Учебно-тематический план курса </w:t>
      </w:r>
    </w:p>
    <w:p>
      <w:pPr>
        <w:pStyle w:val="11"/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before="0" w:beforeAutospacing="0" w:after="0" w:afterAutospacing="0"/>
        <w:ind w:firstLine="335" w:firstLineChars="125"/>
        <w:jc w:val="center"/>
        <w:rPr>
          <w:rFonts w:eastAsia="Calibri"/>
          <w:b/>
          <w:bCs/>
          <w:spacing w:val="-6"/>
          <w:kern w:val="32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315"/>
        <w:gridCol w:w="1195"/>
        <w:gridCol w:w="1232"/>
        <w:gridCol w:w="13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№</w:t>
            </w:r>
          </w:p>
        </w:tc>
        <w:tc>
          <w:tcPr>
            <w:tcW w:w="48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Тематика занятий</w:t>
            </w:r>
          </w:p>
        </w:tc>
        <w:tc>
          <w:tcPr>
            <w:tcW w:w="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Лекции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Практические занятия</w:t>
            </w:r>
          </w:p>
        </w:tc>
        <w:tc>
          <w:tcPr>
            <w:tcW w:w="13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Самостоятельная работа</w:t>
            </w:r>
          </w:p>
        </w:tc>
        <w:tc>
          <w:tcPr>
            <w:tcW w:w="11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Основы здоровьесберегающего образования и здорового образа жизни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Значение здоровьесберегающего образования в современной системе образования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Принципы и методы здоровьесберегающего образования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Формирование компетентностей здорового образа жизни у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Физическая активность и ее роль в поддержании здоровья школьников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Влияние физической активности на развитие и здоровье детей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Методы и формы организации физической активности на уроках и во внеурочное время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Мотивация учащихся к регулярной физической активности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Правильное питание и особенности организации питания в образовательных учреждениях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pacing w:val="-6"/>
                <w:kern w:val="32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Основы сбалансированного питания для детей и подростков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Роль школьного питания в формировании здорового образа жизни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Организация питания в образовательных учреждениях: требования и рекомендации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Психоэмоциональное благополучие и профилактика стресса у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Факторы, влияющие на психоэмоциональное благополучие школьников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Методы и техники профилактики стресса и поддержания психоэмоционального здоровья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Роль педагога в поддержке психоэмоционального благополучия учеников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Профилактика вредных привычек и формирование навыков здорового образа жизни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Роль педагога в профилактике вредных привычек среди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Методы и техники формирования навыков здорового образа жизни у детей и подростков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Организация профилактической работы в образовательном учреждении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Роль педагога в формировании здорового образа жизни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Взаимодействие педагога с родителями и другими специалистами в формировании здорового образа жизни учащихся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Создание условий для формирования здорового образа жизни в образовательной среде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Развитие навыков рефлексии и самооценки у педагога для эффективного формирования здорового образа жизни у учеников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top"/>
          </w:tcPr>
          <w:p>
            <w:pPr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Итого: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1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80</w:t>
            </w:r>
          </w:p>
        </w:tc>
      </w:tr>
    </w:tbl>
    <w:p>
      <w:pPr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eastAsia="Calibri" w:cs="Times New Roman"/>
          <w:sz w:val="28"/>
          <w:szCs w:val="28"/>
        </w:rPr>
      </w:pPr>
    </w:p>
    <w:p>
      <w:pPr>
        <w:pageBreakBefore w:val="0"/>
        <w:tabs>
          <w:tab w:val="left" w:pos="993"/>
          <w:tab w:val="left" w:pos="1134"/>
        </w:tabs>
        <w:wordWrap/>
        <w:topLinePunct w:val="0"/>
        <w:bidi w:val="0"/>
        <w:snapToGrid/>
        <w:spacing w:after="0" w:line="240" w:lineRule="auto"/>
        <w:ind w:firstLine="350" w:firstLineChars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Примечание: 1 академический час – 45 минут.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Традиционная оценка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5670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Параметры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right="-108"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не реализовано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ascii="Times New Roman" w:hAnsi="Times New Roman" w:cs="Times New Roman" w:eastAsiaTheme="majorEastAsia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ascii="Times New Roman" w:hAnsi="Times New Roman" w:cs="Times New Roman" w:eastAsiaTheme="majorEastAsia"/>
                <w:sz w:val="24"/>
                <w:szCs w:val="24"/>
                <w:lang w:eastAsia="ru-RU"/>
              </w:rPr>
              <w:t>0-49 баллов</w:t>
            </w:r>
          </w:p>
        </w:tc>
        <w:tc>
          <w:tcPr>
            <w:tcW w:w="5670" w:type="dxa"/>
            <w:vAlign w:val="bottom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 w:eastAsia="Calibri"/>
                <w:lang w:val="ru-RU"/>
              </w:rPr>
              <w:t xml:space="preserve">содержание работы не соответствует заявленной теме; 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текст работы оформлен небрежно, неразборчиво, имеются грубые стилистические ошибки,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наблюдается бездумное переписывание фрагментов текста из одного или нескольких источников, литература не использовалась,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выводы отсутствуют или не соответствуют содержанию раздела,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не оформлена в соответствии с требованиями.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частично реализовано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50-74 баллов</w:t>
            </w:r>
          </w:p>
        </w:tc>
        <w:tc>
          <w:tcPr>
            <w:tcW w:w="5670" w:type="dxa"/>
            <w:vAlign w:val="bottom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содержание работы частично соответствует теме; </w:t>
            </w:r>
          </w:p>
          <w:p>
            <w:pPr>
              <w:pStyle w:val="9"/>
              <w:pageBreakBefore w:val="0"/>
              <w:tabs>
                <w:tab w:val="left" w:pos="317"/>
              </w:tabs>
              <w:wordWrap/>
              <w:topLinePunct w:val="0"/>
              <w:bidi w:val="0"/>
              <w:snapToGrid/>
              <w:spacing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- работа оформлена в основном правильно, имеются существенные стилистические и грамматические ошибки, </w:t>
            </w:r>
          </w:p>
          <w:p>
            <w:pPr>
              <w:pStyle w:val="9"/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имеется небрежность в оформлении работы: не оставлены поля, нет нумерации страниц, допущены исправления по тексту, неправильно оформлен титульный лист,</w:t>
            </w:r>
          </w:p>
          <w:p>
            <w:pPr>
              <w:pStyle w:val="9"/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для выполнения работы требовалась постоянная помощь, литература использовалась частично,</w:t>
            </w:r>
          </w:p>
          <w:p>
            <w:pPr>
              <w:pStyle w:val="9"/>
              <w:pageBreakBefore w:val="0"/>
              <w:numPr>
                <w:ilvl w:val="0"/>
                <w:numId w:val="5"/>
              </w:numPr>
              <w:tabs>
                <w:tab w:val="left" w:pos="317"/>
              </w:tabs>
              <w:wordWrap/>
              <w:topLinePunct w:val="0"/>
              <w:bidi w:val="0"/>
              <w:snapToGrid/>
              <w:spacing w:after="0" w:line="240" w:lineRule="auto"/>
              <w:ind w:left="34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выводы сделаны не по всем разделам работы или частично соответствует содержанию раздела, или отсутствуют выводы по приведенным данным,</w:t>
            </w:r>
          </w:p>
          <w:p>
            <w:pPr>
              <w:pStyle w:val="17"/>
              <w:pageBreakBefore w:val="0"/>
              <w:numPr>
                <w:ilvl w:val="0"/>
                <w:numId w:val="5"/>
              </w:numPr>
              <w:tabs>
                <w:tab w:val="left" w:pos="318"/>
                <w:tab w:val="clear" w:pos="720"/>
              </w:tabs>
              <w:wordWrap/>
              <w:topLinePunct w:val="0"/>
              <w:bidi w:val="0"/>
              <w:snapToGrid/>
              <w:ind w:left="34" w:firstLine="300" w:firstLineChars="12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eastAsia="Calibri"/>
                <w:lang w:val="ru-RU"/>
              </w:rPr>
              <w:t>отсутствует оглавление, список литературы, подписи к рисункам, названия таблиц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реализовано выше среднего, с учетом исправлений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75-84 баллов</w:t>
            </w:r>
          </w:p>
        </w:tc>
        <w:tc>
          <w:tcPr>
            <w:tcW w:w="5670" w:type="dxa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содержание работы в основном соответствует теме или завышен ее объем;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 основном оформлена правильно, имеются некоторые несущественные стилистические и грамматические ошибки,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выполнялась в основном самостоятельно, литература использовалась,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выводы в основном соответствуют  содержанию раздела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работа в основном оформлена правильно, имеются некоторые отклонения от требований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реализовано полностью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993" w:type="dxa"/>
            <w:vAlign w:val="center"/>
          </w:tcPr>
          <w:p>
            <w:pPr>
              <w:pageBreakBefore w:val="0"/>
              <w:wordWrap/>
              <w:topLinePunct w:val="0"/>
              <w:bidi w:val="0"/>
              <w:snapToGrid/>
              <w:spacing w:after="0" w:line="240" w:lineRule="auto"/>
              <w:ind w:firstLine="300" w:firstLineChars="125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85-100 баллов</w:t>
            </w:r>
          </w:p>
        </w:tc>
        <w:tc>
          <w:tcPr>
            <w:tcW w:w="5670" w:type="dxa"/>
          </w:tcPr>
          <w:p>
            <w:pPr>
              <w:pStyle w:val="17"/>
              <w:pageBreakBefore w:val="0"/>
              <w:wordWrap/>
              <w:topLinePunct w:val="0"/>
              <w:bidi w:val="0"/>
              <w:snapToGrid/>
              <w:ind w:firstLine="300" w:firstLineChars="125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 xml:space="preserve">содержание темы раскрыто полностью и работа соответствует выбранной теме; 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работа оформлена правильно, имеются несущественные стилистические ошибки; </w:t>
            </w:r>
          </w:p>
          <w:p>
            <w:pPr>
              <w:pageBreakBefore w:val="0"/>
              <w:numPr>
                <w:ilvl w:val="0"/>
                <w:numId w:val="5"/>
              </w:numPr>
              <w:tabs>
                <w:tab w:val="left" w:pos="175"/>
                <w:tab w:val="clear" w:pos="720"/>
              </w:tabs>
              <w:wordWrap/>
              <w:topLinePunct w:val="0"/>
              <w:bidi w:val="0"/>
              <w:snapToGrid/>
              <w:spacing w:after="0" w:line="240" w:lineRule="auto"/>
              <w:ind w:left="0" w:firstLine="300" w:firstLineChars="125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практическая часть работы выполнена  самостоятельно, вся выбранная литература проанализирована и использована в работе; имеются обоснованные выводы по каждому разделу</w:t>
            </w:r>
          </w:p>
        </w:tc>
      </w:tr>
    </w:tbl>
    <w:p>
      <w:pPr>
        <w:pageBreakBefore w:val="0"/>
        <w:wordWrap/>
        <w:topLinePunct w:val="0"/>
        <w:bidi w:val="0"/>
        <w:snapToGrid/>
        <w:spacing w:after="0" w:line="240" w:lineRule="auto"/>
        <w:ind w:firstLine="350" w:firstLineChars="125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ageBreakBefore w:val="0"/>
        <w:wordWrap/>
        <w:topLinePunct w:val="0"/>
        <w:bidi w:val="0"/>
        <w:snapToGrid/>
        <w:spacing w:after="305"/>
        <w:ind w:left="-5" w:firstLine="300" w:firstLineChars="125"/>
        <w:outlineLvl w:val="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kk-KZ"/>
        </w:rPr>
        <w:t>И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тоговый контроль</w:t>
      </w:r>
    </w:p>
    <w:p>
      <w:pPr>
        <w:pageBreakBefore w:val="0"/>
        <w:numPr>
          <w:ilvl w:val="0"/>
          <w:numId w:val="6"/>
        </w:numPr>
        <w:wordWrap/>
        <w:topLinePunct w:val="0"/>
        <w:bidi w:val="0"/>
        <w:snapToGrid/>
        <w:spacing w:after="5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Командные проекты.</w:t>
      </w:r>
    </w:p>
    <w:p>
      <w:pPr>
        <w:pageBreakBefore w:val="0"/>
        <w:numPr>
          <w:ilvl w:val="0"/>
          <w:numId w:val="6"/>
        </w:numPr>
        <w:wordWrap/>
        <w:topLinePunct w:val="0"/>
        <w:bidi w:val="0"/>
        <w:snapToGrid/>
        <w:spacing w:after="0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и защита п</w:t>
      </w:r>
      <w:r>
        <w:rPr>
          <w:rFonts w:ascii="Times New Roman" w:hAnsi="Times New Roman" w:eastAsia="Times New Roman" w:cs="Times New Roman"/>
          <w:sz w:val="24"/>
          <w:szCs w:val="24"/>
        </w:rPr>
        <w:t>роекта.</w:t>
      </w:r>
    </w:p>
    <w:p>
      <w:pPr>
        <w:pageBreakBefore w:val="0"/>
        <w:numPr>
          <w:ilvl w:val="0"/>
          <w:numId w:val="6"/>
        </w:numPr>
        <w:wordWrap/>
        <w:topLinePunct w:val="0"/>
        <w:bidi w:val="0"/>
        <w:snapToGrid/>
        <w:spacing w:after="290" w:line="238" w:lineRule="auto"/>
        <w:ind w:left="459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Тест.</w:t>
      </w:r>
    </w:p>
    <w:p>
      <w:pPr>
        <w:pageBreakBefore w:val="0"/>
        <w:wordWrap/>
        <w:topLinePunct w:val="0"/>
        <w:bidi w:val="0"/>
        <w:snapToGrid/>
        <w:spacing w:after="0"/>
        <w:ind w:left="58" w:firstLine="300" w:firstLineChars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Текущий контроль знаний:</w:t>
      </w:r>
    </w:p>
    <w:p>
      <w:pPr>
        <w:pageBreakBefore w:val="0"/>
        <w:numPr>
          <w:ilvl w:val="0"/>
          <w:numId w:val="7"/>
        </w:numPr>
        <w:wordWrap/>
        <w:topLinePunct w:val="0"/>
        <w:bidi w:val="0"/>
        <w:snapToGrid/>
        <w:spacing w:after="5" w:line="238" w:lineRule="auto"/>
        <w:ind w:left="452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Устные и письменные ответы слушателей на вопросы преподавателя в процессе личного общения во время аудиторных занятий и консультирования в режиме офлайн.</w:t>
      </w:r>
    </w:p>
    <w:p>
      <w:pPr>
        <w:pageBreakBefore w:val="0"/>
        <w:numPr>
          <w:ilvl w:val="0"/>
          <w:numId w:val="7"/>
        </w:numPr>
        <w:wordWrap/>
        <w:topLinePunct w:val="0"/>
        <w:bidi w:val="0"/>
        <w:snapToGrid/>
        <w:spacing w:after="31" w:line="238" w:lineRule="auto"/>
        <w:ind w:left="452" w:right="21" w:firstLine="300" w:firstLineChars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Выполнение самостоятельных работ по изучаемым направлениям и темам.</w:t>
      </w:r>
    </w:p>
    <w:p>
      <w:pPr>
        <w:pageBreakBefore w:val="0"/>
        <w:wordWrap/>
        <w:topLinePunct w:val="0"/>
        <w:bidi w:val="0"/>
        <w:snapToGrid/>
        <w:spacing w:after="48"/>
        <w:ind w:left="452" w:right="21" w:firstLine="300" w:firstLineChars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З. Консультирование слушателей с научным руководителем с целью подготовки дипломного проекта.</w:t>
      </w:r>
    </w:p>
    <w:p>
      <w:pPr>
        <w:pageBreakBefore w:val="0"/>
        <w:wordWrap/>
        <w:topLinePunct w:val="0"/>
        <w:bidi w:val="0"/>
        <w:snapToGrid/>
        <w:spacing w:after="312"/>
        <w:ind w:left="35" w:right="21" w:firstLine="300" w:firstLineChars="125"/>
        <w:rPr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Консультации экспертов.</w:t>
      </w:r>
    </w:p>
    <w:p>
      <w:pPr>
        <w:pageBreakBefore w:val="0"/>
        <w:wordWrap/>
        <w:topLinePunct w:val="0"/>
        <w:bidi w:val="0"/>
        <w:snapToGrid/>
        <w:ind w:firstLine="275" w:firstLineChars="125"/>
      </w:pPr>
    </w:p>
    <w:sectPr>
      <w:footerReference r:id="rId5" w:type="default"/>
      <w:pgSz w:w="11906" w:h="16838"/>
      <w:pgMar w:top="1417" w:right="850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oboto Medium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317B"/>
    <w:multiLevelType w:val="singleLevel"/>
    <w:tmpl w:val="9EC731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2E1B67"/>
    <w:multiLevelType w:val="multilevel"/>
    <w:tmpl w:val="1D2E1B67"/>
    <w:lvl w:ilvl="0" w:tentative="0">
      <w:start w:val="1"/>
      <w:numFmt w:val="decimal"/>
      <w:lvlText w:val="%1."/>
      <w:lvlJc w:val="left"/>
      <w:pPr>
        <w:ind w:left="4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23405A8D"/>
    <w:multiLevelType w:val="singleLevel"/>
    <w:tmpl w:val="23405A8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92362B2"/>
    <w:multiLevelType w:val="multilevel"/>
    <w:tmpl w:val="292362B2"/>
    <w:lvl w:ilvl="0" w:tentative="0">
      <w:start w:val="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D294170"/>
    <w:multiLevelType w:val="multilevel"/>
    <w:tmpl w:val="2D294170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2136484"/>
    <w:multiLevelType w:val="multilevel"/>
    <w:tmpl w:val="52136484"/>
    <w:lvl w:ilvl="0" w:tentative="0">
      <w:start w:val="1"/>
      <w:numFmt w:val="decimal"/>
      <w:lvlText w:val="%1."/>
      <w:lvlJc w:val="left"/>
      <w:pPr>
        <w:ind w:left="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526A7C48"/>
    <w:multiLevelType w:val="multilevel"/>
    <w:tmpl w:val="526A7C48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 w:eastAsia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75A1E"/>
    <w:rsid w:val="6F0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87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toc 5"/>
    <w:basedOn w:val="1"/>
    <w:next w:val="1"/>
    <w:qFormat/>
    <w:uiPriority w:val="99"/>
    <w:pPr>
      <w:widowControl w:val="0"/>
      <w:tabs>
        <w:tab w:val="right" w:leader="dot" w:pos="9255"/>
      </w:tabs>
      <w:spacing w:after="0" w:line="274" w:lineRule="exact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№6"/>
    <w:basedOn w:val="1"/>
    <w:qFormat/>
    <w:uiPriority w:val="0"/>
    <w:pPr>
      <w:shd w:val="clear" w:color="auto" w:fill="FFFFFF"/>
      <w:spacing w:after="600" w:line="240" w:lineRule="atLeast"/>
      <w:outlineLvl w:val="5"/>
    </w:pPr>
    <w:rPr>
      <w:rFonts w:ascii="Times New Roman" w:hAnsi="Times New Roman" w:cs="Times New Roman"/>
      <w:sz w:val="23"/>
      <w:szCs w:val="23"/>
    </w:rPr>
  </w:style>
  <w:style w:type="paragraph" w:styleId="14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aaaaa"/>
    <w:basedOn w:val="2"/>
    <w:qFormat/>
    <w:uiPriority w:val="99"/>
    <w:pPr>
      <w:keepLines w:val="0"/>
      <w:spacing w:after="60" w:line="240" w:lineRule="auto"/>
      <w:ind w:firstLine="397"/>
      <w:contextualSpacing/>
      <w:jc w:val="center"/>
    </w:pPr>
    <w:rPr>
      <w:rFonts w:eastAsia="Calibri" w:asciiTheme="minorHAnsi" w:hAnsiTheme="minorHAnsi" w:cstheme="minorBidi"/>
      <w:bCs/>
      <w:color w:val="auto"/>
      <w:kern w:val="32"/>
      <w:sz w:val="28"/>
      <w:szCs w:val="28"/>
      <w:lang w:eastAsia="ru-RU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val="en-US" w:bidi="en-US"/>
    </w:rPr>
  </w:style>
  <w:style w:type="paragraph" w:customStyle="1" w:styleId="19">
    <w:name w:val="msonormal_mailru_css_attribute_postfix_mailru_css_attribute_postfix"/>
    <w:basedOn w:val="1"/>
    <w:qFormat/>
    <w:uiPriority w:val="0"/>
    <w:pPr>
      <w:spacing w:before="100" w:beforeAutospacing="1" w:after="100" w:afterAutospacing="1" w:line="276" w:lineRule="auto"/>
    </w:pPr>
    <w:rPr>
      <w:sz w:val="24"/>
      <w:szCs w:val="24"/>
      <w:lang w:eastAsia="ru-RU"/>
    </w:rPr>
  </w:style>
  <w:style w:type="character" w:customStyle="1" w:styleId="2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2023-04-21T05:57:00Z</dcterms:created>
  <dc:creator>Пользователь</dc:creator>
  <cp:lastModifiedBy>Elvira Samalbaeva</cp:lastModifiedBy>
  <dcterms:modified xsi:type="dcterms:W3CDTF">2023-04-26T15:29:26Z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8F409F50E88C4021B187CD2C022B0668</vt:lpwstr>
  </property>
</Properties>
</file>